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22177" w14:textId="3B3791B2" w:rsidR="00156D84" w:rsidRDefault="00156D84" w:rsidP="00156D84">
      <w:pPr>
        <w:rPr>
          <w:rFonts w:ascii="Century Gothic" w:hAnsi="Century Gothic"/>
        </w:rPr>
      </w:pPr>
    </w:p>
    <w:p w14:paraId="5B82572C" w14:textId="77777777" w:rsidR="00156D84" w:rsidRDefault="00156D84" w:rsidP="00156D84">
      <w:pPr>
        <w:rPr>
          <w:rFonts w:ascii="Century Gothic" w:hAnsi="Century Gothic"/>
        </w:rPr>
      </w:pPr>
    </w:p>
    <w:p w14:paraId="544861A5" w14:textId="77777777" w:rsidR="00156D84" w:rsidRDefault="00156D84" w:rsidP="00156D84">
      <w:pPr>
        <w:rPr>
          <w:rFonts w:ascii="Century Gothic" w:hAnsi="Century Gothic"/>
        </w:rPr>
      </w:pPr>
    </w:p>
    <w:p w14:paraId="3E4FBC1F" w14:textId="3257258D" w:rsidR="00156D84" w:rsidRPr="00156D84" w:rsidRDefault="00156D84" w:rsidP="00156D84">
      <w:pPr>
        <w:rPr>
          <w:rFonts w:ascii="Century Gothic" w:hAnsi="Century Gothic"/>
        </w:rPr>
      </w:pPr>
      <w:r w:rsidRPr="00156D84">
        <w:rPr>
          <w:rFonts w:ascii="Century Gothic" w:hAnsi="Century Gothic"/>
        </w:rPr>
        <w:t xml:space="preserve">L’archive nommée « PVB_GABARIT_CHARTE_GRAPHIQUE_RECOLEMENTS_2026.zip » est à envoyer </w:t>
      </w:r>
      <w:proofErr w:type="spellStart"/>
      <w:r w:rsidRPr="00156D84">
        <w:rPr>
          <w:rFonts w:ascii="Century Gothic" w:hAnsi="Century Gothic"/>
        </w:rPr>
        <w:t>a</w:t>
      </w:r>
      <w:proofErr w:type="spellEnd"/>
      <w:r w:rsidRPr="00156D84">
        <w:rPr>
          <w:rFonts w:ascii="Century Gothic" w:hAnsi="Century Gothic"/>
        </w:rPr>
        <w:t xml:space="preserve"> la MOA/MOE dans le cadre de la restitution graphique (récolement) des projets d’aménagements, réhabilitations, créations d’espaces verts publics, VRD, Aire de jeux, mobilier, arrosage. </w:t>
      </w:r>
      <w:r w:rsidRPr="00156D84">
        <w:rPr>
          <w:rFonts w:ascii="Century Gothic" w:hAnsi="Century Gothic"/>
          <w:b/>
          <w:bCs/>
        </w:rPr>
        <w:t>Ces éléments facilitent l’intégration dans le modèle de données SIG de Bordeaux Métropole et permettent une homogénéisation des plans entre les DOE et les levés PAN/PCRS liés au marché BM de prestations topographique 2026-2029</w:t>
      </w:r>
    </w:p>
    <w:p w14:paraId="13F0BD8B" w14:textId="77777777" w:rsidR="00156D84" w:rsidRPr="00156D84" w:rsidRDefault="00156D84" w:rsidP="00156D84">
      <w:pPr>
        <w:rPr>
          <w:rFonts w:ascii="Century Gothic" w:hAnsi="Century Gothic"/>
        </w:rPr>
      </w:pPr>
    </w:p>
    <w:p w14:paraId="15A42D87" w14:textId="77777777" w:rsidR="00156D84" w:rsidRPr="00156D84" w:rsidRDefault="00156D84" w:rsidP="00156D84">
      <w:pPr>
        <w:rPr>
          <w:rFonts w:ascii="Century Gothic" w:hAnsi="Century Gothic"/>
        </w:rPr>
      </w:pPr>
      <w:r w:rsidRPr="00156D84">
        <w:rPr>
          <w:rFonts w:ascii="Century Gothic" w:hAnsi="Century Gothic"/>
        </w:rPr>
        <w:t>Cette archive est à dézipper et elle contient :</w:t>
      </w:r>
    </w:p>
    <w:p w14:paraId="56735814" w14:textId="77777777" w:rsidR="00156D84" w:rsidRPr="00156D84" w:rsidRDefault="00156D84" w:rsidP="00156D84">
      <w:pPr>
        <w:rPr>
          <w:rFonts w:ascii="Century Gothic" w:hAnsi="Century Gothic"/>
        </w:rPr>
      </w:pPr>
    </w:p>
    <w:p w14:paraId="2206CE69" w14:textId="77777777" w:rsidR="00156D84" w:rsidRPr="00156D84" w:rsidRDefault="00156D84" w:rsidP="00156D84">
      <w:pPr>
        <w:pStyle w:val="Paragraphedeliste"/>
        <w:numPr>
          <w:ilvl w:val="0"/>
          <w:numId w:val="1"/>
        </w:numPr>
        <w:contextualSpacing w:val="0"/>
        <w:rPr>
          <w:rFonts w:ascii="Century Gothic" w:eastAsia="Times New Roman" w:hAnsi="Century Gothic"/>
        </w:rPr>
      </w:pPr>
      <w:r w:rsidRPr="00156D84">
        <w:rPr>
          <w:rFonts w:ascii="Century Gothic" w:eastAsia="Times New Roman" w:hAnsi="Century Gothic"/>
        </w:rPr>
        <w:t xml:space="preserve">Le dossier intitulé « AAAAMMJJ_REC_NOM_SITE » qui sera </w:t>
      </w:r>
      <w:proofErr w:type="spellStart"/>
      <w:r w:rsidRPr="00156D84">
        <w:rPr>
          <w:rFonts w:ascii="Century Gothic" w:eastAsia="Times New Roman" w:hAnsi="Century Gothic"/>
        </w:rPr>
        <w:t>a</w:t>
      </w:r>
      <w:proofErr w:type="spellEnd"/>
      <w:r w:rsidRPr="00156D84">
        <w:rPr>
          <w:rFonts w:ascii="Century Gothic" w:eastAsia="Times New Roman" w:hAnsi="Century Gothic"/>
        </w:rPr>
        <w:t xml:space="preserve"> renommer par le responsable du projet avant envoi au PVB.</w:t>
      </w:r>
    </w:p>
    <w:p w14:paraId="7A294F22" w14:textId="77777777" w:rsidR="00156D84" w:rsidRPr="00156D84" w:rsidRDefault="00156D84" w:rsidP="00156D84">
      <w:pPr>
        <w:pStyle w:val="Paragraphedeliste"/>
        <w:ind w:left="360"/>
        <w:rPr>
          <w:rFonts w:ascii="Century Gothic" w:hAnsi="Century Gothic"/>
        </w:rPr>
      </w:pPr>
    </w:p>
    <w:p w14:paraId="1DCDC603" w14:textId="77777777" w:rsidR="00156D84" w:rsidRPr="00156D84" w:rsidRDefault="00156D84" w:rsidP="00156D84">
      <w:pPr>
        <w:rPr>
          <w:rFonts w:ascii="Century Gothic" w:hAnsi="Century Gothic"/>
        </w:rPr>
      </w:pPr>
      <w:r w:rsidRPr="00156D84">
        <w:rPr>
          <w:rFonts w:ascii="Century Gothic" w:hAnsi="Century Gothic"/>
        </w:rPr>
        <w:t>Dans ce dossier se trouvent :</w:t>
      </w:r>
    </w:p>
    <w:p w14:paraId="7A3221E6" w14:textId="77777777" w:rsidR="00156D84" w:rsidRPr="00156D84" w:rsidRDefault="00156D84" w:rsidP="00156D84">
      <w:pPr>
        <w:rPr>
          <w:rFonts w:ascii="Century Gothic" w:hAnsi="Century Gothic"/>
        </w:rPr>
      </w:pPr>
    </w:p>
    <w:p w14:paraId="704B7953" w14:textId="77777777" w:rsidR="00156D84" w:rsidRPr="00156D84" w:rsidRDefault="00156D84" w:rsidP="00156D84">
      <w:pPr>
        <w:pStyle w:val="Paragraphedeliste"/>
        <w:numPr>
          <w:ilvl w:val="0"/>
          <w:numId w:val="1"/>
        </w:numPr>
        <w:contextualSpacing w:val="0"/>
        <w:rPr>
          <w:rFonts w:ascii="Century Gothic" w:eastAsia="Times New Roman" w:hAnsi="Century Gothic"/>
        </w:rPr>
      </w:pPr>
      <w:r w:rsidRPr="00156D84">
        <w:rPr>
          <w:rFonts w:ascii="Century Gothic" w:eastAsia="Times New Roman" w:hAnsi="Century Gothic"/>
        </w:rPr>
        <w:t xml:space="preserve">Le gabarit de dessin Gabarit_PVB_BM_2026-2029.dwt dans lequel le plan sera dressé. Les objets du plan devront être levé par un géomètre topographe ou un géomètre expert (en référence planimétrique est le </w:t>
      </w:r>
      <w:r w:rsidRPr="00156D84">
        <w:rPr>
          <w:rFonts w:ascii="Century Gothic" w:eastAsia="Times New Roman" w:hAnsi="Century Gothic"/>
          <w:b/>
          <w:bCs/>
        </w:rPr>
        <w:t xml:space="preserve">RGF93 </w:t>
      </w:r>
      <w:r w:rsidRPr="00156D84">
        <w:rPr>
          <w:rFonts w:ascii="Century Gothic" w:eastAsia="Times New Roman" w:hAnsi="Century Gothic"/>
        </w:rPr>
        <w:t xml:space="preserve">et sa projection conique conforme </w:t>
      </w:r>
      <w:r w:rsidRPr="00156D84">
        <w:rPr>
          <w:rFonts w:ascii="Century Gothic" w:eastAsia="Times New Roman" w:hAnsi="Century Gothic"/>
          <w:b/>
          <w:bCs/>
        </w:rPr>
        <w:t xml:space="preserve">zone 4 </w:t>
      </w:r>
      <w:r w:rsidRPr="00156D84">
        <w:rPr>
          <w:rFonts w:ascii="Century Gothic" w:eastAsia="Times New Roman" w:hAnsi="Century Gothic"/>
        </w:rPr>
        <w:t xml:space="preserve">(ESPG : 3945 – RGF93 v1 / CC45) et référence altimétrique le nivellement général NGF – IGN 69). </w:t>
      </w:r>
    </w:p>
    <w:p w14:paraId="1A7A6043" w14:textId="77777777" w:rsidR="00156D84" w:rsidRPr="00156D84" w:rsidRDefault="00156D84" w:rsidP="00156D84">
      <w:pPr>
        <w:pStyle w:val="Paragraphedeliste"/>
        <w:ind w:left="360"/>
        <w:rPr>
          <w:rFonts w:ascii="Century Gothic" w:hAnsi="Century Gothic"/>
        </w:rPr>
      </w:pPr>
      <w:r w:rsidRPr="00156D84">
        <w:rPr>
          <w:rFonts w:ascii="Century Gothic" w:hAnsi="Century Gothic"/>
        </w:rPr>
        <w:t>Une fois réalisé, le plan de récolement sera renvoyé à PVB dans ce même fichier mais enregistré au format .dwg et renommé en respectant cette codification AAAAMMJJ_REC_NOM_SITE.dwg</w:t>
      </w:r>
    </w:p>
    <w:p w14:paraId="63CBAE99" w14:textId="77777777" w:rsidR="00156D84" w:rsidRPr="00156D84" w:rsidRDefault="00156D84" w:rsidP="00156D84">
      <w:pPr>
        <w:pStyle w:val="Paragraphedeliste"/>
        <w:ind w:left="360"/>
        <w:rPr>
          <w:rFonts w:ascii="Century Gothic" w:hAnsi="Century Gothic"/>
        </w:rPr>
      </w:pPr>
    </w:p>
    <w:p w14:paraId="17F60FA2" w14:textId="77777777" w:rsidR="00156D84" w:rsidRPr="00156D84" w:rsidRDefault="00156D84" w:rsidP="00156D84">
      <w:pPr>
        <w:pStyle w:val="Paragraphedeliste"/>
        <w:numPr>
          <w:ilvl w:val="0"/>
          <w:numId w:val="1"/>
        </w:numPr>
        <w:contextualSpacing w:val="0"/>
        <w:rPr>
          <w:rFonts w:ascii="Century Gothic" w:eastAsia="Times New Roman" w:hAnsi="Century Gothic"/>
        </w:rPr>
      </w:pPr>
      <w:r w:rsidRPr="00156D84">
        <w:rPr>
          <w:rFonts w:ascii="Century Gothic" w:eastAsia="Times New Roman" w:hAnsi="Century Gothic"/>
        </w:rPr>
        <w:t>Un dossier « Annexes » qui contient tous les documents nécessaires à la compréhension de la saisie des informations dans le plan, notamment :</w:t>
      </w:r>
    </w:p>
    <w:p w14:paraId="55C26A7B" w14:textId="77777777" w:rsidR="00156D84" w:rsidRPr="00156D84" w:rsidRDefault="00156D84" w:rsidP="00156D84">
      <w:pPr>
        <w:pStyle w:val="Paragraphedeliste"/>
        <w:ind w:left="360"/>
        <w:rPr>
          <w:rFonts w:ascii="Century Gothic" w:hAnsi="Century Gothic"/>
        </w:rPr>
      </w:pPr>
    </w:p>
    <w:p w14:paraId="1E7BC61B" w14:textId="47778055" w:rsidR="00156D84" w:rsidRPr="00156D84" w:rsidRDefault="00156D84" w:rsidP="00156D84">
      <w:pPr>
        <w:pStyle w:val="Paragraphedeliste"/>
        <w:numPr>
          <w:ilvl w:val="0"/>
          <w:numId w:val="2"/>
        </w:numPr>
        <w:contextualSpacing w:val="0"/>
        <w:rPr>
          <w:rFonts w:ascii="Century Gothic" w:eastAsia="Times New Roman" w:hAnsi="Century Gothic"/>
        </w:rPr>
      </w:pPr>
      <w:r w:rsidRPr="00156D84">
        <w:rPr>
          <w:rFonts w:ascii="Century Gothic" w:eastAsia="Times New Roman" w:hAnsi="Century Gothic"/>
        </w:rPr>
        <w:t>l’Annexe_1_Table des symboles_PVB_BM_2026-2029.dwg :</w:t>
      </w:r>
    </w:p>
    <w:p w14:paraId="0D6BAFFC" w14:textId="77777777" w:rsidR="00156D84" w:rsidRPr="00156D84" w:rsidRDefault="00156D84" w:rsidP="00156D84">
      <w:pPr>
        <w:pStyle w:val="Paragraphedeliste"/>
        <w:rPr>
          <w:rFonts w:ascii="Century Gothic" w:hAnsi="Century Gothic"/>
          <w14:ligatures w14:val="none"/>
        </w:rPr>
      </w:pPr>
      <w:r w:rsidRPr="00156D84">
        <w:rPr>
          <w:rFonts w:ascii="Century Gothic" w:hAnsi="Century Gothic"/>
        </w:rPr>
        <w:t>Il s’agit d’un fichier de dessin indiquant les correspondances à respecter entre les objets levés et les calques/blocs.</w:t>
      </w:r>
    </w:p>
    <w:p w14:paraId="774B1688" w14:textId="77777777" w:rsidR="00156D84" w:rsidRPr="00156D84" w:rsidRDefault="00156D84" w:rsidP="00156D84">
      <w:pPr>
        <w:pStyle w:val="Paragraphedeliste"/>
        <w:rPr>
          <w:rFonts w:ascii="Century Gothic" w:hAnsi="Century Gothic"/>
        </w:rPr>
      </w:pPr>
      <w:r w:rsidRPr="00156D84">
        <w:rPr>
          <w:rFonts w:ascii="Century Gothic" w:hAnsi="Century Gothic"/>
        </w:rPr>
        <w:t>Ce fichier décrit également les symbologies, les styles (hachures/couleurs) attendus dans le dessin final.</w:t>
      </w:r>
    </w:p>
    <w:p w14:paraId="16AC6442" w14:textId="77777777" w:rsidR="00156D84" w:rsidRPr="00156D84" w:rsidRDefault="00156D84" w:rsidP="00156D84">
      <w:pPr>
        <w:pStyle w:val="Paragraphedeliste"/>
        <w:rPr>
          <w:rFonts w:ascii="Century Gothic" w:hAnsi="Century Gothic"/>
        </w:rPr>
      </w:pPr>
    </w:p>
    <w:p w14:paraId="6E8EED66" w14:textId="77777777" w:rsidR="00156D84" w:rsidRPr="00156D84" w:rsidRDefault="00156D84" w:rsidP="00156D84">
      <w:pPr>
        <w:pStyle w:val="Paragraphedeliste"/>
        <w:numPr>
          <w:ilvl w:val="0"/>
          <w:numId w:val="2"/>
        </w:numPr>
        <w:contextualSpacing w:val="0"/>
        <w:rPr>
          <w:rFonts w:ascii="Century Gothic" w:eastAsia="Times New Roman" w:hAnsi="Century Gothic"/>
        </w:rPr>
      </w:pPr>
      <w:r w:rsidRPr="00156D84">
        <w:rPr>
          <w:rFonts w:ascii="Century Gothic" w:eastAsia="Times New Roman" w:hAnsi="Century Gothic"/>
        </w:rPr>
        <w:t>l’Annexe_2_Charte Graphique_PVB_BM_2026.pdf qui détaille l’ensemble des préconisations attendues en terme :</w:t>
      </w:r>
    </w:p>
    <w:p w14:paraId="7C364F72" w14:textId="77777777" w:rsidR="00156D84" w:rsidRPr="00156D84" w:rsidRDefault="00156D84" w:rsidP="00156D84">
      <w:pPr>
        <w:pStyle w:val="Paragraphedeliste"/>
        <w:numPr>
          <w:ilvl w:val="1"/>
          <w:numId w:val="2"/>
        </w:numPr>
        <w:contextualSpacing w:val="0"/>
        <w:rPr>
          <w:rFonts w:ascii="Century Gothic" w:eastAsia="Times New Roman" w:hAnsi="Century Gothic"/>
        </w:rPr>
      </w:pPr>
      <w:r w:rsidRPr="00156D84">
        <w:rPr>
          <w:rFonts w:ascii="Century Gothic" w:eastAsia="Times New Roman" w:hAnsi="Century Gothic"/>
        </w:rPr>
        <w:t>de précisions planimétrique et altimétriques, de nivellement et de rattachement</w:t>
      </w:r>
    </w:p>
    <w:p w14:paraId="4A92D01C" w14:textId="77777777" w:rsidR="00156D84" w:rsidRPr="00156D84" w:rsidRDefault="00156D84" w:rsidP="00156D84">
      <w:pPr>
        <w:pStyle w:val="Paragraphedeliste"/>
        <w:numPr>
          <w:ilvl w:val="1"/>
          <w:numId w:val="2"/>
        </w:numPr>
        <w:contextualSpacing w:val="0"/>
        <w:rPr>
          <w:rFonts w:ascii="Century Gothic" w:eastAsia="Times New Roman" w:hAnsi="Century Gothic"/>
        </w:rPr>
      </w:pPr>
      <w:r w:rsidRPr="00156D84">
        <w:rPr>
          <w:rFonts w:ascii="Century Gothic" w:eastAsia="Times New Roman" w:hAnsi="Century Gothic"/>
        </w:rPr>
        <w:t>de catégories d’objets à lever, des règles de dessins et de la nomenclature des calques/blocs</w:t>
      </w:r>
    </w:p>
    <w:p w14:paraId="7D469A36" w14:textId="77777777" w:rsidR="00156D84" w:rsidRPr="00156D84" w:rsidRDefault="00156D84" w:rsidP="00156D84">
      <w:pPr>
        <w:pStyle w:val="Paragraphedeliste"/>
        <w:ind w:left="1440"/>
        <w:rPr>
          <w:rFonts w:ascii="Century Gothic" w:hAnsi="Century Gothic"/>
        </w:rPr>
      </w:pPr>
    </w:p>
    <w:p w14:paraId="1896F3DE" w14:textId="77777777" w:rsidR="00156D84" w:rsidRPr="00156D84" w:rsidRDefault="00156D84" w:rsidP="00156D84">
      <w:pPr>
        <w:pStyle w:val="xmsonormal"/>
        <w:numPr>
          <w:ilvl w:val="0"/>
          <w:numId w:val="2"/>
        </w:numPr>
        <w:rPr>
          <w:rFonts w:ascii="Century Gothic" w:eastAsia="Times New Roman" w:hAnsi="Century Gothic"/>
          <w:sz w:val="22"/>
          <w:szCs w:val="22"/>
        </w:rPr>
      </w:pPr>
      <w:r w:rsidRPr="00156D84">
        <w:rPr>
          <w:rFonts w:ascii="Century Gothic" w:eastAsia="Times New Roman" w:hAnsi="Century Gothic"/>
          <w:sz w:val="22"/>
          <w:szCs w:val="22"/>
        </w:rPr>
        <w:t>l’Annexe_5_Correspondance entre symboles et plan_PVB_BM_2026-2029.pdf : Fichier qui détaille les correspondances objets/calques/blocs pour la table des symboles PVB et BM</w:t>
      </w:r>
    </w:p>
    <w:p w14:paraId="72165500" w14:textId="77777777" w:rsidR="00156D84" w:rsidRPr="00156D84" w:rsidRDefault="00156D84" w:rsidP="00156D84">
      <w:pPr>
        <w:pStyle w:val="xmsonormal"/>
        <w:ind w:left="360"/>
        <w:rPr>
          <w:rFonts w:ascii="Century Gothic" w:hAnsi="Century Gothic"/>
          <w:b/>
          <w:bCs/>
          <w:sz w:val="22"/>
          <w:szCs w:val="22"/>
        </w:rPr>
      </w:pPr>
    </w:p>
    <w:p w14:paraId="5DC7DA88" w14:textId="77777777" w:rsidR="00156D84" w:rsidRPr="00156D84" w:rsidRDefault="00156D84" w:rsidP="00156D84">
      <w:pPr>
        <w:pStyle w:val="Paragraphedeliste"/>
        <w:numPr>
          <w:ilvl w:val="0"/>
          <w:numId w:val="2"/>
        </w:numPr>
        <w:contextualSpacing w:val="0"/>
        <w:rPr>
          <w:rFonts w:ascii="Century Gothic" w:eastAsia="Times New Roman" w:hAnsi="Century Gothic"/>
        </w:rPr>
      </w:pPr>
      <w:r w:rsidRPr="00156D84">
        <w:rPr>
          <w:rFonts w:ascii="Century Gothic" w:eastAsia="Times New Roman" w:hAnsi="Century Gothic"/>
        </w:rPr>
        <w:t>Les Annexes 3 et 4 pour la restitution (</w:t>
      </w:r>
      <w:r w:rsidRPr="00156D84">
        <w:rPr>
          <w:rFonts w:ascii="Century Gothic" w:eastAsia="Times New Roman" w:hAnsi="Century Gothic"/>
          <w:b/>
          <w:bCs/>
        </w:rPr>
        <w:t>dans les attributs du bloc + au format shapefiles</w:t>
      </w:r>
      <w:r w:rsidRPr="00156D84">
        <w:rPr>
          <w:rFonts w:ascii="Century Gothic" w:eastAsia="Times New Roman" w:hAnsi="Century Gothic"/>
        </w:rPr>
        <w:t xml:space="preserve">) des informations sur </w:t>
      </w:r>
      <w:r w:rsidRPr="00156D84">
        <w:rPr>
          <w:rFonts w:ascii="Century Gothic" w:eastAsia="Times New Roman" w:hAnsi="Century Gothic"/>
          <w:b/>
          <w:bCs/>
        </w:rPr>
        <w:t>les arbres (existants et plantés)</w:t>
      </w:r>
      <w:r w:rsidRPr="00156D84">
        <w:rPr>
          <w:rFonts w:ascii="Century Gothic" w:eastAsia="Times New Roman" w:hAnsi="Century Gothic"/>
        </w:rPr>
        <w:t xml:space="preserve"> à savoir :</w:t>
      </w:r>
    </w:p>
    <w:p w14:paraId="57178539" w14:textId="0C5EFBF5" w:rsidR="00156D84" w:rsidRPr="00156D84" w:rsidRDefault="00156D84" w:rsidP="00156D84">
      <w:pPr>
        <w:pStyle w:val="xmsonormal"/>
        <w:ind w:left="708"/>
        <w:rPr>
          <w:rFonts w:ascii="Century Gothic" w:hAnsi="Century Gothic"/>
          <w:sz w:val="22"/>
          <w:szCs w:val="22"/>
        </w:rPr>
      </w:pPr>
      <w:r w:rsidRPr="00156D84">
        <w:rPr>
          <w:rFonts w:ascii="Century Gothic" w:hAnsi="Century Gothic"/>
          <w:sz w:val="22"/>
          <w:szCs w:val="22"/>
        </w:rPr>
        <w:t>Les arbres nouveaux et existants doivent être inséré dans le bloc PVB_Arbre et le calque PVB_EV_Arbre, et renseignés pour tous les attributs du bloc indiqués ci-dessous en orange et p.14 de la charte, et pour 3 attributs en utilisant les valeurs fournies dans l’Annexe 4_Liste des valeurs_Arbres_gabarit_2026.xlsx</w:t>
      </w:r>
    </w:p>
    <w:p w14:paraId="3C5EB22D" w14:textId="77777777" w:rsidR="00156D84" w:rsidRDefault="00156D84" w:rsidP="00156D84">
      <w:pPr>
        <w:pStyle w:val="xmsonormal"/>
        <w:rPr>
          <w:rFonts w:ascii="Century Gothic" w:hAnsi="Century Gothic"/>
          <w:sz w:val="22"/>
          <w:szCs w:val="22"/>
        </w:rPr>
      </w:pPr>
      <w:r w:rsidRPr="00156D84">
        <w:rPr>
          <w:rFonts w:ascii="Century Gothic" w:hAnsi="Century Gothic"/>
          <w:sz w:val="22"/>
          <w:szCs w:val="22"/>
        </w:rPr>
        <w:t> </w:t>
      </w:r>
    </w:p>
    <w:p w14:paraId="04D70BA1" w14:textId="77777777" w:rsidR="00156D84" w:rsidRDefault="00156D84" w:rsidP="00156D84">
      <w:pPr>
        <w:pStyle w:val="xmsonormal"/>
        <w:rPr>
          <w:rFonts w:ascii="Century Gothic" w:hAnsi="Century Gothic"/>
          <w:sz w:val="22"/>
          <w:szCs w:val="22"/>
        </w:rPr>
      </w:pPr>
    </w:p>
    <w:p w14:paraId="34E9533F" w14:textId="77777777" w:rsidR="00156D84" w:rsidRDefault="00156D84" w:rsidP="00156D84">
      <w:pPr>
        <w:pStyle w:val="xmsonormal"/>
        <w:rPr>
          <w:rFonts w:ascii="Century Gothic" w:hAnsi="Century Gothic"/>
          <w:sz w:val="22"/>
          <w:szCs w:val="22"/>
        </w:rPr>
      </w:pPr>
    </w:p>
    <w:p w14:paraId="7B15C57B" w14:textId="77777777" w:rsidR="00156D84" w:rsidRDefault="00156D84" w:rsidP="00156D84">
      <w:pPr>
        <w:pStyle w:val="xmsonormal"/>
        <w:rPr>
          <w:rFonts w:ascii="Century Gothic" w:hAnsi="Century Gothic"/>
          <w:sz w:val="22"/>
          <w:szCs w:val="22"/>
        </w:rPr>
      </w:pPr>
    </w:p>
    <w:p w14:paraId="5181F8B2" w14:textId="77777777" w:rsidR="00156D84" w:rsidRDefault="00156D84" w:rsidP="00156D84">
      <w:pPr>
        <w:pStyle w:val="xmsonormal"/>
        <w:rPr>
          <w:rFonts w:ascii="Century Gothic" w:hAnsi="Century Gothic"/>
          <w:sz w:val="22"/>
          <w:szCs w:val="22"/>
        </w:rPr>
      </w:pPr>
    </w:p>
    <w:p w14:paraId="50053DBC" w14:textId="77777777" w:rsidR="00156D84" w:rsidRDefault="00156D84" w:rsidP="00156D84">
      <w:pPr>
        <w:pStyle w:val="xmsonormal"/>
        <w:rPr>
          <w:rFonts w:ascii="Century Gothic" w:hAnsi="Century Gothic"/>
          <w:sz w:val="22"/>
          <w:szCs w:val="22"/>
        </w:rPr>
      </w:pPr>
    </w:p>
    <w:p w14:paraId="46988828" w14:textId="77777777" w:rsidR="00156D84" w:rsidRDefault="00156D84" w:rsidP="00156D84">
      <w:pPr>
        <w:pStyle w:val="xmsonormal"/>
        <w:rPr>
          <w:rFonts w:ascii="Century Gothic" w:hAnsi="Century Gothic"/>
          <w:sz w:val="22"/>
          <w:szCs w:val="22"/>
        </w:rPr>
      </w:pPr>
    </w:p>
    <w:p w14:paraId="3CEF680D" w14:textId="77777777" w:rsidR="00156D84" w:rsidRPr="00156D84" w:rsidRDefault="00156D84" w:rsidP="00156D84">
      <w:pPr>
        <w:pStyle w:val="xmsonormal"/>
        <w:rPr>
          <w:rFonts w:ascii="Century Gothic" w:hAnsi="Century Gothic"/>
          <w:sz w:val="22"/>
          <w:szCs w:val="22"/>
        </w:rPr>
      </w:pPr>
    </w:p>
    <w:p w14:paraId="17E6335B" w14:textId="77777777" w:rsidR="00156D84" w:rsidRPr="00156D84" w:rsidRDefault="00156D84" w:rsidP="00156D84">
      <w:pPr>
        <w:pStyle w:val="xmsonormal"/>
        <w:rPr>
          <w:rFonts w:ascii="Century Gothic" w:hAnsi="Century Gothic"/>
          <w:sz w:val="22"/>
          <w:szCs w:val="22"/>
        </w:rPr>
      </w:pPr>
      <w:r w:rsidRPr="00156D84">
        <w:rPr>
          <w:rFonts w:ascii="Century Gothic" w:hAnsi="Century Gothic"/>
          <w:sz w:val="22"/>
          <w:szCs w:val="22"/>
        </w:rPr>
        <w:t> </w:t>
      </w:r>
    </w:p>
    <w:tbl>
      <w:tblPr>
        <w:tblpPr w:leftFromText="141" w:rightFromText="141" w:bottomFromText="115" w:vertAnchor="text"/>
        <w:tblW w:w="10480" w:type="dxa"/>
        <w:tblCellMar>
          <w:left w:w="0" w:type="dxa"/>
          <w:right w:w="0" w:type="dxa"/>
        </w:tblCellMar>
        <w:tblLook w:val="04A0" w:firstRow="1" w:lastRow="0" w:firstColumn="1" w:lastColumn="0" w:noHBand="0" w:noVBand="1"/>
      </w:tblPr>
      <w:tblGrid>
        <w:gridCol w:w="2919"/>
        <w:gridCol w:w="7561"/>
      </w:tblGrid>
      <w:tr w:rsidR="00156D84" w:rsidRPr="00156D84" w14:paraId="71EBFE76" w14:textId="77777777" w:rsidTr="00156D84">
        <w:trPr>
          <w:trHeight w:val="303"/>
        </w:trPr>
        <w:tc>
          <w:tcPr>
            <w:tcW w:w="2919" w:type="dxa"/>
            <w:tcBorders>
              <w:top w:val="single" w:sz="8" w:space="0" w:color="auto"/>
              <w:left w:val="single" w:sz="8" w:space="0" w:color="auto"/>
              <w:bottom w:val="single" w:sz="8" w:space="0" w:color="auto"/>
              <w:right w:val="single" w:sz="8" w:space="0" w:color="auto"/>
            </w:tcBorders>
            <w:shd w:val="clear" w:color="auto" w:fill="BDD6EE"/>
            <w:tcMar>
              <w:top w:w="0" w:type="dxa"/>
              <w:left w:w="70" w:type="dxa"/>
              <w:bottom w:w="0" w:type="dxa"/>
              <w:right w:w="70" w:type="dxa"/>
            </w:tcMar>
            <w:vAlign w:val="center"/>
            <w:hideMark/>
          </w:tcPr>
          <w:p w14:paraId="754CD6B7" w14:textId="77777777" w:rsidR="00156D84" w:rsidRPr="00156D84" w:rsidRDefault="00156D84" w:rsidP="00156D84">
            <w:pPr>
              <w:spacing w:line="252" w:lineRule="auto"/>
              <w:jc w:val="center"/>
              <w:rPr>
                <w:rFonts w:ascii="Century Gothic" w:hAnsi="Century Gothic" w:cs="Calibri"/>
                <w:b/>
                <w:bCs/>
                <w:color w:val="000000"/>
              </w:rPr>
            </w:pPr>
            <w:r w:rsidRPr="00156D84">
              <w:rPr>
                <w:rFonts w:ascii="Century Gothic" w:hAnsi="Century Gothic" w:cs="Calibri"/>
                <w:b/>
                <w:bCs/>
                <w:color w:val="000000"/>
              </w:rPr>
              <w:t>Référence dynamique personnalisée</w:t>
            </w:r>
          </w:p>
        </w:tc>
        <w:tc>
          <w:tcPr>
            <w:tcW w:w="7561" w:type="dxa"/>
            <w:tcBorders>
              <w:top w:val="single" w:sz="8" w:space="0" w:color="auto"/>
              <w:left w:val="nil"/>
              <w:bottom w:val="single" w:sz="8" w:space="0" w:color="auto"/>
              <w:right w:val="single" w:sz="8" w:space="0" w:color="auto"/>
            </w:tcBorders>
            <w:shd w:val="clear" w:color="auto" w:fill="BDD6EE"/>
            <w:tcMar>
              <w:top w:w="0" w:type="dxa"/>
              <w:left w:w="70" w:type="dxa"/>
              <w:bottom w:w="0" w:type="dxa"/>
              <w:right w:w="70" w:type="dxa"/>
            </w:tcMar>
            <w:vAlign w:val="center"/>
            <w:hideMark/>
          </w:tcPr>
          <w:p w14:paraId="1FD60E36" w14:textId="77777777" w:rsidR="00156D84" w:rsidRPr="00156D84" w:rsidRDefault="00156D84" w:rsidP="00156D84">
            <w:pPr>
              <w:spacing w:line="252" w:lineRule="auto"/>
              <w:jc w:val="center"/>
              <w:rPr>
                <w:rFonts w:ascii="Century Gothic" w:hAnsi="Century Gothic" w:cs="Calibri"/>
                <w:b/>
                <w:bCs/>
                <w:color w:val="000000"/>
              </w:rPr>
            </w:pPr>
            <w:r w:rsidRPr="00156D84">
              <w:rPr>
                <w:rFonts w:ascii="Century Gothic" w:hAnsi="Century Gothic" w:cs="Calibri"/>
                <w:b/>
                <w:bCs/>
                <w:color w:val="000000"/>
              </w:rPr>
              <w:t>Description</w:t>
            </w:r>
          </w:p>
        </w:tc>
      </w:tr>
      <w:tr w:rsidR="00156D84" w:rsidRPr="00156D84" w14:paraId="0B4BF04C" w14:textId="77777777" w:rsidTr="00156D84">
        <w:trPr>
          <w:trHeight w:val="303"/>
        </w:trPr>
        <w:tc>
          <w:tcPr>
            <w:tcW w:w="2919" w:type="dxa"/>
            <w:tcBorders>
              <w:top w:val="nil"/>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hideMark/>
          </w:tcPr>
          <w:p w14:paraId="058DF4B3"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Type</w:t>
            </w:r>
          </w:p>
        </w:tc>
        <w:tc>
          <w:tcPr>
            <w:tcW w:w="7561"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hideMark/>
          </w:tcPr>
          <w:p w14:paraId="31F12602"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Liste : Persistant/Caduque. Liste accessible depuis le ruban Propriété ou à la sélection de l’objet sur le dessin. Voir 4.2.2</w:t>
            </w:r>
          </w:p>
        </w:tc>
      </w:tr>
      <w:tr w:rsidR="00156D84" w:rsidRPr="00156D84" w14:paraId="093F6EE1" w14:textId="77777777" w:rsidTr="00156D84">
        <w:trPr>
          <w:trHeight w:val="303"/>
        </w:trPr>
        <w:tc>
          <w:tcPr>
            <w:tcW w:w="2919" w:type="dxa"/>
            <w:tcBorders>
              <w:top w:val="nil"/>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hideMark/>
          </w:tcPr>
          <w:p w14:paraId="7B4E57B7"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Diamètre du tronc (m)</w:t>
            </w:r>
          </w:p>
        </w:tc>
        <w:tc>
          <w:tcPr>
            <w:tcW w:w="7561"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hideMark/>
          </w:tcPr>
          <w:p w14:paraId="07880BF5"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 xml:space="preserve">Diamètre du tronc à 1m30 en </w:t>
            </w:r>
            <w:r w:rsidRPr="00156D84">
              <w:rPr>
                <w:rFonts w:ascii="Century Gothic" w:hAnsi="Century Gothic" w:cs="Calibri"/>
                <w:b/>
                <w:bCs/>
                <w:color w:val="000000"/>
              </w:rPr>
              <w:t>mètre</w:t>
            </w:r>
            <w:r w:rsidRPr="00156D84">
              <w:rPr>
                <w:rFonts w:ascii="Century Gothic" w:hAnsi="Century Gothic" w:cs="Calibri"/>
                <w:color w:val="000000"/>
              </w:rPr>
              <w:t>. Nombre réel.</w:t>
            </w:r>
          </w:p>
        </w:tc>
      </w:tr>
      <w:tr w:rsidR="00156D84" w:rsidRPr="00156D84" w14:paraId="30A9F19A" w14:textId="77777777" w:rsidTr="00156D84">
        <w:trPr>
          <w:trHeight w:val="303"/>
        </w:trPr>
        <w:tc>
          <w:tcPr>
            <w:tcW w:w="2919" w:type="dxa"/>
            <w:tcBorders>
              <w:top w:val="nil"/>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hideMark/>
          </w:tcPr>
          <w:p w14:paraId="618D5C0B"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Diamètre du houppier (m)</w:t>
            </w:r>
          </w:p>
        </w:tc>
        <w:tc>
          <w:tcPr>
            <w:tcW w:w="7561"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hideMark/>
          </w:tcPr>
          <w:p w14:paraId="0710F594"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 xml:space="preserve">Diamètre du houppier en </w:t>
            </w:r>
            <w:r w:rsidRPr="00156D84">
              <w:rPr>
                <w:rFonts w:ascii="Century Gothic" w:hAnsi="Century Gothic" w:cs="Calibri"/>
                <w:b/>
                <w:bCs/>
                <w:color w:val="000000"/>
              </w:rPr>
              <w:t>mètre</w:t>
            </w:r>
            <w:r w:rsidRPr="00156D84">
              <w:rPr>
                <w:rFonts w:ascii="Century Gothic" w:hAnsi="Century Gothic" w:cs="Calibri"/>
                <w:color w:val="000000"/>
              </w:rPr>
              <w:t xml:space="preserve">. Nombre réel. </w:t>
            </w:r>
          </w:p>
        </w:tc>
      </w:tr>
      <w:tr w:rsidR="00156D84" w:rsidRPr="00156D84" w14:paraId="07755062" w14:textId="77777777" w:rsidTr="00156D84">
        <w:trPr>
          <w:trHeight w:val="303"/>
        </w:trPr>
        <w:tc>
          <w:tcPr>
            <w:tcW w:w="2919" w:type="dxa"/>
            <w:tcBorders>
              <w:top w:val="nil"/>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hideMark/>
          </w:tcPr>
          <w:p w14:paraId="02A67BB0"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Essence_IDATM</w:t>
            </w:r>
          </w:p>
        </w:tc>
        <w:tc>
          <w:tcPr>
            <w:tcW w:w="7561"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hideMark/>
          </w:tcPr>
          <w:p w14:paraId="47E3C124"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Liste de la table de bloc des essences d’arbres. Liste accessible depuis le ruban Propriété ou à la sélection de l’objet sur le dessin.  Voir 4.2.2</w:t>
            </w:r>
          </w:p>
        </w:tc>
      </w:tr>
      <w:tr w:rsidR="00156D84" w:rsidRPr="00156D84" w14:paraId="34815C66" w14:textId="77777777" w:rsidTr="00156D84">
        <w:trPr>
          <w:trHeight w:val="303"/>
        </w:trPr>
        <w:tc>
          <w:tcPr>
            <w:tcW w:w="2919" w:type="dxa"/>
            <w:tcBorders>
              <w:top w:val="nil"/>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3A9982F6" w14:textId="4C87769F"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Nom Latin</w:t>
            </w:r>
          </w:p>
        </w:tc>
        <w:tc>
          <w:tcPr>
            <w:tcW w:w="7561" w:type="dxa"/>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E41FC86"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Auto. Se remplit automatiquement à partir du nom latin qui a été saisi dans la liste Essence_IDATM</w:t>
            </w:r>
          </w:p>
        </w:tc>
      </w:tr>
      <w:tr w:rsidR="00156D84" w:rsidRPr="00156D84" w14:paraId="0E3596B0" w14:textId="77777777" w:rsidTr="00156D84">
        <w:trPr>
          <w:trHeight w:val="303"/>
        </w:trPr>
        <w:tc>
          <w:tcPr>
            <w:tcW w:w="2919" w:type="dxa"/>
            <w:tcBorders>
              <w:top w:val="nil"/>
              <w:left w:val="single" w:sz="8" w:space="0" w:color="auto"/>
              <w:bottom w:val="single" w:sz="8" w:space="0" w:color="auto"/>
              <w:right w:val="single" w:sz="8" w:space="0" w:color="auto"/>
            </w:tcBorders>
            <w:shd w:val="clear" w:color="auto" w:fill="BDD6EE"/>
            <w:tcMar>
              <w:top w:w="0" w:type="dxa"/>
              <w:left w:w="70" w:type="dxa"/>
              <w:bottom w:w="0" w:type="dxa"/>
              <w:right w:w="70" w:type="dxa"/>
            </w:tcMar>
            <w:vAlign w:val="center"/>
            <w:hideMark/>
          </w:tcPr>
          <w:p w14:paraId="61C285FA" w14:textId="77777777" w:rsidR="00156D84" w:rsidRPr="00156D84" w:rsidRDefault="00156D84">
            <w:pPr>
              <w:spacing w:line="252" w:lineRule="auto"/>
              <w:jc w:val="both"/>
              <w:rPr>
                <w:rFonts w:ascii="Century Gothic" w:hAnsi="Century Gothic" w:cs="Calibri"/>
                <w:b/>
                <w:bCs/>
                <w:color w:val="000000"/>
              </w:rPr>
            </w:pPr>
            <w:r w:rsidRPr="00156D84">
              <w:rPr>
                <w:rFonts w:ascii="Century Gothic" w:hAnsi="Century Gothic" w:cs="Calibri"/>
                <w:b/>
                <w:bCs/>
                <w:color w:val="000000"/>
              </w:rPr>
              <w:t>Attribut</w:t>
            </w:r>
          </w:p>
        </w:tc>
        <w:tc>
          <w:tcPr>
            <w:tcW w:w="7561" w:type="dxa"/>
            <w:tcBorders>
              <w:top w:val="nil"/>
              <w:left w:val="nil"/>
              <w:bottom w:val="single" w:sz="8" w:space="0" w:color="auto"/>
              <w:right w:val="single" w:sz="8" w:space="0" w:color="auto"/>
            </w:tcBorders>
            <w:shd w:val="clear" w:color="auto" w:fill="BDD6EE"/>
            <w:tcMar>
              <w:top w:w="0" w:type="dxa"/>
              <w:left w:w="70" w:type="dxa"/>
              <w:bottom w:w="0" w:type="dxa"/>
              <w:right w:w="70" w:type="dxa"/>
            </w:tcMar>
            <w:vAlign w:val="center"/>
            <w:hideMark/>
          </w:tcPr>
          <w:p w14:paraId="7E9AA840" w14:textId="77777777" w:rsidR="00156D84" w:rsidRPr="00156D84" w:rsidRDefault="00156D84">
            <w:pPr>
              <w:spacing w:line="252" w:lineRule="auto"/>
              <w:jc w:val="both"/>
              <w:rPr>
                <w:rFonts w:ascii="Century Gothic" w:hAnsi="Century Gothic" w:cs="Calibri"/>
                <w:b/>
                <w:bCs/>
                <w:color w:val="000000"/>
              </w:rPr>
            </w:pPr>
            <w:r w:rsidRPr="00156D84">
              <w:rPr>
                <w:rFonts w:ascii="Century Gothic" w:hAnsi="Century Gothic" w:cs="Calibri"/>
                <w:b/>
                <w:bCs/>
                <w:color w:val="000000"/>
              </w:rPr>
              <w:t>Description</w:t>
            </w:r>
          </w:p>
        </w:tc>
      </w:tr>
      <w:tr w:rsidR="00156D84" w:rsidRPr="00156D84" w14:paraId="391424ED" w14:textId="77777777" w:rsidTr="00156D84">
        <w:trPr>
          <w:trHeight w:val="303"/>
        </w:trPr>
        <w:tc>
          <w:tcPr>
            <w:tcW w:w="2919" w:type="dxa"/>
            <w:tcBorders>
              <w:top w:val="nil"/>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38E2A618"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IDATM</w:t>
            </w:r>
          </w:p>
        </w:tc>
        <w:tc>
          <w:tcPr>
            <w:tcW w:w="7561" w:type="dxa"/>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6A0ABD7C"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Auto. Chiffre entier unique correspondant à l’essence de l’arbre de la base de données Bordeaux Métropole. Se remplit automatiquement à partir du nom latin qui a été saisi dans la liste Essence_IDATM</w:t>
            </w:r>
          </w:p>
        </w:tc>
      </w:tr>
      <w:tr w:rsidR="00156D84" w:rsidRPr="00156D84" w14:paraId="38328E51" w14:textId="77777777" w:rsidTr="00156D84">
        <w:trPr>
          <w:trHeight w:val="303"/>
        </w:trPr>
        <w:tc>
          <w:tcPr>
            <w:tcW w:w="2919" w:type="dxa"/>
            <w:tcBorders>
              <w:top w:val="nil"/>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hideMark/>
          </w:tcPr>
          <w:p w14:paraId="54D95AA2"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STATUT</w:t>
            </w:r>
          </w:p>
        </w:tc>
        <w:tc>
          <w:tcPr>
            <w:tcW w:w="7561"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hideMark/>
          </w:tcPr>
          <w:p w14:paraId="3176DE15" w14:textId="66C73BCF"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 xml:space="preserve">VIVANT, SOUCHE, MORT (Remplit avec VIVANT par défaut. </w:t>
            </w:r>
            <w:r w:rsidRPr="00156D84">
              <w:rPr>
                <w:rFonts w:ascii="Century Gothic" w:hAnsi="Century Gothic" w:cs="Calibri"/>
                <w:color w:val="FF0000"/>
              </w:rPr>
              <w:t xml:space="preserve">Se référer à la colonne STATUT  du fichier </w:t>
            </w:r>
            <w:r w:rsidRPr="00156D84">
              <w:rPr>
                <w:rFonts w:ascii="Century Gothic" w:hAnsi="Century Gothic" w:cs="Calibri"/>
                <w:color w:val="FF0000"/>
              </w:rPr>
              <w:t>Excel</w:t>
            </w:r>
            <w:r w:rsidRPr="00156D84">
              <w:rPr>
                <w:rFonts w:ascii="Century Gothic" w:hAnsi="Century Gothic" w:cs="Calibri"/>
                <w:color w:val="FF0000"/>
              </w:rPr>
              <w:t xml:space="preserve">  </w:t>
            </w:r>
            <w:r w:rsidRPr="00156D84">
              <w:rPr>
                <w:rFonts w:ascii="Century Gothic" w:hAnsi="Century Gothic" w:cs="Calibri"/>
                <w:color w:val="000000"/>
              </w:rPr>
              <w:t>pour les autres possibilités de valeurs)</w:t>
            </w:r>
          </w:p>
        </w:tc>
      </w:tr>
      <w:tr w:rsidR="00156D84" w:rsidRPr="00156D84" w14:paraId="073B684B" w14:textId="77777777" w:rsidTr="00156D84">
        <w:trPr>
          <w:trHeight w:val="303"/>
        </w:trPr>
        <w:tc>
          <w:tcPr>
            <w:tcW w:w="2919" w:type="dxa"/>
            <w:tcBorders>
              <w:top w:val="nil"/>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hideMark/>
          </w:tcPr>
          <w:p w14:paraId="068A863B"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HAUTEUR</w:t>
            </w:r>
          </w:p>
        </w:tc>
        <w:tc>
          <w:tcPr>
            <w:tcW w:w="7561"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hideMark/>
          </w:tcPr>
          <w:p w14:paraId="0B4C3FE2"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 xml:space="preserve">Hauteur totale en </w:t>
            </w:r>
            <w:r w:rsidRPr="00156D84">
              <w:rPr>
                <w:rFonts w:ascii="Century Gothic" w:hAnsi="Century Gothic" w:cs="Calibri"/>
                <w:b/>
                <w:bCs/>
                <w:color w:val="000000"/>
              </w:rPr>
              <w:t>mètre</w:t>
            </w:r>
            <w:r w:rsidRPr="00156D84">
              <w:rPr>
                <w:rFonts w:ascii="Century Gothic" w:hAnsi="Century Gothic" w:cs="Calibri"/>
                <w:color w:val="000000"/>
              </w:rPr>
              <w:t xml:space="preserve">. </w:t>
            </w:r>
            <w:r w:rsidRPr="00156D84">
              <w:rPr>
                <w:rFonts w:ascii="Century Gothic" w:hAnsi="Century Gothic" w:cs="Calibri"/>
                <w:b/>
                <w:bCs/>
                <w:color w:val="000000"/>
              </w:rPr>
              <w:t>Nombre entier</w:t>
            </w:r>
          </w:p>
        </w:tc>
      </w:tr>
      <w:tr w:rsidR="00156D84" w:rsidRPr="00156D84" w14:paraId="5682C13C" w14:textId="77777777" w:rsidTr="00156D84">
        <w:trPr>
          <w:trHeight w:val="303"/>
        </w:trPr>
        <w:tc>
          <w:tcPr>
            <w:tcW w:w="2919" w:type="dxa"/>
            <w:tcBorders>
              <w:top w:val="nil"/>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hideMark/>
          </w:tcPr>
          <w:p w14:paraId="0D1CB8A6"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DIAMETRE</w:t>
            </w:r>
          </w:p>
        </w:tc>
        <w:tc>
          <w:tcPr>
            <w:tcW w:w="7561"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hideMark/>
          </w:tcPr>
          <w:p w14:paraId="21E48303"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 xml:space="preserve">Diamètre du tronc à 1m30 en </w:t>
            </w:r>
            <w:r w:rsidRPr="00156D84">
              <w:rPr>
                <w:rFonts w:ascii="Century Gothic" w:hAnsi="Century Gothic" w:cs="Calibri"/>
                <w:b/>
                <w:bCs/>
                <w:color w:val="000000"/>
              </w:rPr>
              <w:t>centimètres</w:t>
            </w:r>
            <w:r w:rsidRPr="00156D84">
              <w:rPr>
                <w:rFonts w:ascii="Century Gothic" w:hAnsi="Century Gothic" w:cs="Calibri"/>
                <w:color w:val="000000"/>
              </w:rPr>
              <w:t xml:space="preserve">. </w:t>
            </w:r>
            <w:r w:rsidRPr="00156D84">
              <w:rPr>
                <w:rFonts w:ascii="Century Gothic" w:hAnsi="Century Gothic" w:cs="Calibri"/>
                <w:b/>
                <w:bCs/>
                <w:color w:val="000000"/>
              </w:rPr>
              <w:t>Nombre entier</w:t>
            </w:r>
          </w:p>
        </w:tc>
      </w:tr>
      <w:tr w:rsidR="00156D84" w:rsidRPr="00156D84" w14:paraId="56F29184" w14:textId="77777777" w:rsidTr="00156D84">
        <w:trPr>
          <w:trHeight w:val="303"/>
        </w:trPr>
        <w:tc>
          <w:tcPr>
            <w:tcW w:w="2919" w:type="dxa"/>
            <w:tcBorders>
              <w:top w:val="nil"/>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hideMark/>
          </w:tcPr>
          <w:p w14:paraId="713C0F02"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PLANTA_DAT</w:t>
            </w:r>
          </w:p>
        </w:tc>
        <w:tc>
          <w:tcPr>
            <w:tcW w:w="7561"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hideMark/>
          </w:tcPr>
          <w:p w14:paraId="2818B55E"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Date de plantation format jj/mm/aaaa</w:t>
            </w:r>
          </w:p>
        </w:tc>
      </w:tr>
      <w:tr w:rsidR="00156D84" w:rsidRPr="00156D84" w14:paraId="7683C360" w14:textId="77777777" w:rsidTr="00156D84">
        <w:trPr>
          <w:trHeight w:val="303"/>
        </w:trPr>
        <w:tc>
          <w:tcPr>
            <w:tcW w:w="2919" w:type="dxa"/>
            <w:tcBorders>
              <w:top w:val="nil"/>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hideMark/>
          </w:tcPr>
          <w:p w14:paraId="32C561E6"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DIM_PLANT</w:t>
            </w:r>
          </w:p>
        </w:tc>
        <w:tc>
          <w:tcPr>
            <w:tcW w:w="7561"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hideMark/>
          </w:tcPr>
          <w:p w14:paraId="59499270" w14:textId="57AFF222"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 xml:space="preserve">Dimension, force à la plantation (ex : </w:t>
            </w:r>
            <w:r w:rsidRPr="00156D84">
              <w:rPr>
                <w:rFonts w:ascii="Century Gothic" w:hAnsi="Century Gothic" w:cs="Times New Roman"/>
                <w:color w:val="000000"/>
              </w:rPr>
              <w:t> </w:t>
            </w:r>
            <w:r w:rsidRPr="00156D84">
              <w:rPr>
                <w:rFonts w:ascii="Century Gothic" w:hAnsi="Century Gothic" w:cs="Calibri"/>
                <w:color w:val="000000"/>
              </w:rPr>
              <w:t>10_12, 14_16, 250_</w:t>
            </w:r>
            <w:r w:rsidRPr="00156D84">
              <w:rPr>
                <w:rFonts w:ascii="Century Gothic" w:hAnsi="Century Gothic" w:cs="Calibri"/>
                <w:color w:val="000000"/>
              </w:rPr>
              <w:t>300…</w:t>
            </w:r>
            <w:r w:rsidRPr="00156D84">
              <w:rPr>
                <w:rFonts w:ascii="Century Gothic" w:hAnsi="Century Gothic" w:cs="Calibri"/>
                <w:color w:val="000000"/>
              </w:rPr>
              <w:t xml:space="preserve">). </w:t>
            </w:r>
            <w:r w:rsidRPr="00156D84">
              <w:rPr>
                <w:rFonts w:ascii="Century Gothic" w:hAnsi="Century Gothic" w:cs="Calibri"/>
                <w:color w:val="FF0000"/>
              </w:rPr>
              <w:t xml:space="preserve">Se référer à la colonne DIM_PLANT du fichier </w:t>
            </w:r>
            <w:r w:rsidRPr="00156D84">
              <w:rPr>
                <w:rFonts w:ascii="Century Gothic" w:hAnsi="Century Gothic" w:cs="Calibri"/>
                <w:color w:val="FF0000"/>
              </w:rPr>
              <w:t>Excel</w:t>
            </w:r>
          </w:p>
        </w:tc>
      </w:tr>
      <w:tr w:rsidR="00156D84" w:rsidRPr="00156D84" w14:paraId="7ABC7FF3" w14:textId="77777777" w:rsidTr="00156D84">
        <w:trPr>
          <w:trHeight w:val="448"/>
        </w:trPr>
        <w:tc>
          <w:tcPr>
            <w:tcW w:w="2919" w:type="dxa"/>
            <w:tcBorders>
              <w:top w:val="nil"/>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hideMark/>
          </w:tcPr>
          <w:p w14:paraId="37EB4145"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PEPINIERE</w:t>
            </w:r>
          </w:p>
        </w:tc>
        <w:tc>
          <w:tcPr>
            <w:tcW w:w="7561"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hideMark/>
          </w:tcPr>
          <w:p w14:paraId="5733D699" w14:textId="51F8472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 xml:space="preserve">Nom de la pépinière d'achat, provenance de l’arbre. </w:t>
            </w:r>
            <w:r w:rsidRPr="00156D84">
              <w:rPr>
                <w:rFonts w:ascii="Century Gothic" w:hAnsi="Century Gothic" w:cs="Calibri"/>
                <w:color w:val="FF0000"/>
              </w:rPr>
              <w:t xml:space="preserve">Se référer à la colonne PEPINIERE  du fichier </w:t>
            </w:r>
            <w:r w:rsidRPr="00156D84">
              <w:rPr>
                <w:rFonts w:ascii="Century Gothic" w:hAnsi="Century Gothic" w:cs="Calibri"/>
                <w:color w:val="FF0000"/>
              </w:rPr>
              <w:t>Excel</w:t>
            </w:r>
            <w:r w:rsidRPr="00156D84">
              <w:rPr>
                <w:rFonts w:ascii="Century Gothic" w:hAnsi="Century Gothic" w:cs="Calibri"/>
                <w:color w:val="000000"/>
              </w:rPr>
              <w:t>. Si absente de la liste indiquer la nouvelle pépinière dans cet attribut</w:t>
            </w:r>
          </w:p>
        </w:tc>
      </w:tr>
      <w:tr w:rsidR="00156D84" w:rsidRPr="00156D84" w14:paraId="1B5C37C8" w14:textId="77777777" w:rsidTr="00156D84">
        <w:trPr>
          <w:trHeight w:val="303"/>
        </w:trPr>
        <w:tc>
          <w:tcPr>
            <w:tcW w:w="2919" w:type="dxa"/>
            <w:tcBorders>
              <w:top w:val="nil"/>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hideMark/>
          </w:tcPr>
          <w:p w14:paraId="2C857B59"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REM_GEST_D</w:t>
            </w:r>
          </w:p>
        </w:tc>
        <w:tc>
          <w:tcPr>
            <w:tcW w:w="7561"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hideMark/>
          </w:tcPr>
          <w:p w14:paraId="17D9D8BB"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Date de remise en gestion au gestionnaire BM (finalisation de la garantie) au format jj/mm/aaaa</w:t>
            </w:r>
          </w:p>
        </w:tc>
      </w:tr>
      <w:tr w:rsidR="00156D84" w:rsidRPr="00156D84" w14:paraId="2375DBE3" w14:textId="77777777" w:rsidTr="00156D84">
        <w:trPr>
          <w:trHeight w:val="303"/>
        </w:trPr>
        <w:tc>
          <w:tcPr>
            <w:tcW w:w="2919" w:type="dxa"/>
            <w:tcBorders>
              <w:top w:val="nil"/>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hideMark/>
          </w:tcPr>
          <w:p w14:paraId="3BD4AFD3"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VOL_FOSSE</w:t>
            </w:r>
          </w:p>
        </w:tc>
        <w:tc>
          <w:tcPr>
            <w:tcW w:w="7561"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hideMark/>
          </w:tcPr>
          <w:p w14:paraId="696A0605"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Volume de la fosse en m3. Nombre réel (ex : 2.5)</w:t>
            </w:r>
          </w:p>
        </w:tc>
      </w:tr>
      <w:tr w:rsidR="00156D84" w:rsidRPr="00156D84" w14:paraId="7569F8B3" w14:textId="77777777" w:rsidTr="00156D84">
        <w:trPr>
          <w:trHeight w:val="303"/>
        </w:trPr>
        <w:tc>
          <w:tcPr>
            <w:tcW w:w="2919" w:type="dxa"/>
            <w:tcBorders>
              <w:top w:val="nil"/>
              <w:left w:val="single" w:sz="8" w:space="0" w:color="auto"/>
              <w:bottom w:val="single" w:sz="8" w:space="0" w:color="auto"/>
              <w:right w:val="single" w:sz="8" w:space="0" w:color="auto"/>
            </w:tcBorders>
            <w:shd w:val="clear" w:color="auto" w:fill="D0CECE"/>
            <w:tcMar>
              <w:top w:w="0" w:type="dxa"/>
              <w:left w:w="70" w:type="dxa"/>
              <w:bottom w:w="0" w:type="dxa"/>
              <w:right w:w="70" w:type="dxa"/>
            </w:tcMar>
            <w:vAlign w:val="center"/>
            <w:hideMark/>
          </w:tcPr>
          <w:p w14:paraId="7B8166C8"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NATURE_SOL</w:t>
            </w:r>
          </w:p>
        </w:tc>
        <w:tc>
          <w:tcPr>
            <w:tcW w:w="7561"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2E510643" w14:textId="21C16D9E"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 xml:space="preserve">Type de la terre dans la fosse au moment de la plantation. </w:t>
            </w:r>
            <w:r w:rsidRPr="00156D84">
              <w:rPr>
                <w:rFonts w:ascii="Century Gothic" w:hAnsi="Century Gothic" w:cs="Calibri"/>
                <w:color w:val="FF0000"/>
              </w:rPr>
              <w:t xml:space="preserve">Se référer à la colonne NATURE_SOL  du fichier </w:t>
            </w:r>
            <w:r w:rsidRPr="00156D84">
              <w:rPr>
                <w:rFonts w:ascii="Century Gothic" w:hAnsi="Century Gothic" w:cs="Calibri"/>
                <w:color w:val="FF0000"/>
              </w:rPr>
              <w:t>Excel</w:t>
            </w:r>
          </w:p>
        </w:tc>
      </w:tr>
      <w:tr w:rsidR="00156D84" w:rsidRPr="00156D84" w14:paraId="4208C160" w14:textId="77777777" w:rsidTr="00156D84">
        <w:trPr>
          <w:trHeight w:val="303"/>
        </w:trPr>
        <w:tc>
          <w:tcPr>
            <w:tcW w:w="2919" w:type="dxa"/>
            <w:tcBorders>
              <w:top w:val="nil"/>
              <w:left w:val="single" w:sz="8" w:space="0" w:color="auto"/>
              <w:bottom w:val="single" w:sz="8" w:space="0" w:color="auto"/>
              <w:right w:val="single" w:sz="8" w:space="0" w:color="auto"/>
            </w:tcBorders>
            <w:shd w:val="clear" w:color="auto" w:fill="D0CECE"/>
            <w:tcMar>
              <w:top w:w="0" w:type="dxa"/>
              <w:left w:w="70" w:type="dxa"/>
              <w:bottom w:w="0" w:type="dxa"/>
              <w:right w:w="70" w:type="dxa"/>
            </w:tcMar>
            <w:vAlign w:val="center"/>
            <w:hideMark/>
          </w:tcPr>
          <w:p w14:paraId="7D76EC5A"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CATEGORIE</w:t>
            </w:r>
          </w:p>
        </w:tc>
        <w:tc>
          <w:tcPr>
            <w:tcW w:w="7561"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56562650"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Spécifier si c’est du remplacement d’arbre ou un nouvel arbre (REMPLACEMENT ; CREATION)</w:t>
            </w:r>
          </w:p>
        </w:tc>
      </w:tr>
      <w:tr w:rsidR="00156D84" w:rsidRPr="00156D84" w14:paraId="04D8F92B" w14:textId="77777777" w:rsidTr="00156D84">
        <w:trPr>
          <w:trHeight w:val="694"/>
        </w:trPr>
        <w:tc>
          <w:tcPr>
            <w:tcW w:w="2919" w:type="dxa"/>
            <w:tcBorders>
              <w:top w:val="nil"/>
              <w:left w:val="single" w:sz="8" w:space="0" w:color="auto"/>
              <w:bottom w:val="single" w:sz="8" w:space="0" w:color="auto"/>
              <w:right w:val="single" w:sz="8" w:space="0" w:color="auto"/>
            </w:tcBorders>
            <w:shd w:val="clear" w:color="auto" w:fill="D0CECE"/>
            <w:tcMar>
              <w:top w:w="0" w:type="dxa"/>
              <w:left w:w="70" w:type="dxa"/>
              <w:bottom w:w="0" w:type="dxa"/>
              <w:right w:w="70" w:type="dxa"/>
            </w:tcMar>
            <w:vAlign w:val="center"/>
            <w:hideMark/>
          </w:tcPr>
          <w:p w14:paraId="64EF5272"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NUMERO</w:t>
            </w:r>
          </w:p>
        </w:tc>
        <w:tc>
          <w:tcPr>
            <w:tcW w:w="7561"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4C3ABFB2"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Numéro SIG : numéro utilisé par le service arbre du PVB de BM dans l’application métier, remplir uniquement si le numéro est connu sinon laisser vide (les nouveaux arbres n’ont pas encore de numéro mais ceux en remplacement oui)</w:t>
            </w:r>
          </w:p>
        </w:tc>
      </w:tr>
      <w:tr w:rsidR="00156D84" w:rsidRPr="00156D84" w14:paraId="17770D80" w14:textId="77777777" w:rsidTr="00156D84">
        <w:trPr>
          <w:trHeight w:val="303"/>
        </w:trPr>
        <w:tc>
          <w:tcPr>
            <w:tcW w:w="2919" w:type="dxa"/>
            <w:tcBorders>
              <w:top w:val="nil"/>
              <w:left w:val="single" w:sz="8" w:space="0" w:color="auto"/>
              <w:bottom w:val="single" w:sz="8" w:space="0" w:color="auto"/>
              <w:right w:val="single" w:sz="8" w:space="0" w:color="auto"/>
            </w:tcBorders>
            <w:shd w:val="clear" w:color="auto" w:fill="D0CECE"/>
            <w:tcMar>
              <w:top w:w="0" w:type="dxa"/>
              <w:left w:w="70" w:type="dxa"/>
              <w:bottom w:w="0" w:type="dxa"/>
              <w:right w:w="70" w:type="dxa"/>
            </w:tcMar>
            <w:vAlign w:val="center"/>
            <w:hideMark/>
          </w:tcPr>
          <w:p w14:paraId="12DB9082"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COMMENTAIRE</w:t>
            </w:r>
          </w:p>
        </w:tc>
        <w:tc>
          <w:tcPr>
            <w:tcW w:w="7561"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0C439350" w14:textId="77777777" w:rsidR="00156D84" w:rsidRPr="00156D84" w:rsidRDefault="00156D84">
            <w:pPr>
              <w:spacing w:line="252" w:lineRule="auto"/>
              <w:jc w:val="both"/>
              <w:rPr>
                <w:rFonts w:ascii="Century Gothic" w:hAnsi="Century Gothic" w:cs="Calibri"/>
                <w:color w:val="000000"/>
              </w:rPr>
            </w:pPr>
            <w:r w:rsidRPr="00156D84">
              <w:rPr>
                <w:rFonts w:ascii="Century Gothic" w:hAnsi="Century Gothic" w:cs="Calibri"/>
                <w:color w:val="000000"/>
              </w:rPr>
              <w:t>Champ texte pour compléter des informations (absence de valeurs dans les listes d’essence, de pépinière…)</w:t>
            </w:r>
          </w:p>
        </w:tc>
      </w:tr>
    </w:tbl>
    <w:p w14:paraId="4D4DAC22" w14:textId="77777777" w:rsidR="00156D84" w:rsidRPr="00156D84" w:rsidRDefault="00156D84" w:rsidP="00156D84">
      <w:pPr>
        <w:pStyle w:val="xmsonormal"/>
        <w:rPr>
          <w:rFonts w:ascii="Century Gothic" w:hAnsi="Century Gothic"/>
          <w:sz w:val="22"/>
          <w:szCs w:val="22"/>
        </w:rPr>
      </w:pPr>
    </w:p>
    <w:p w14:paraId="37D17CE1" w14:textId="77777777" w:rsidR="00156D84" w:rsidRPr="00156D84" w:rsidRDefault="00156D84" w:rsidP="00156D84">
      <w:pPr>
        <w:pStyle w:val="xmsonormal"/>
        <w:rPr>
          <w:rFonts w:ascii="Century Gothic" w:hAnsi="Century Gothic"/>
          <w:sz w:val="22"/>
          <w:szCs w:val="22"/>
        </w:rPr>
      </w:pPr>
    </w:p>
    <w:p w14:paraId="7AB0861F" w14:textId="77777777" w:rsidR="00156D84" w:rsidRPr="00156D84" w:rsidRDefault="00156D84" w:rsidP="00156D84">
      <w:pPr>
        <w:pStyle w:val="xmsonormal"/>
        <w:rPr>
          <w:rFonts w:ascii="Century Gothic" w:hAnsi="Century Gothic"/>
          <w:sz w:val="22"/>
          <w:szCs w:val="22"/>
        </w:rPr>
      </w:pPr>
    </w:p>
    <w:p w14:paraId="611650EA" w14:textId="77777777" w:rsidR="00156D84" w:rsidRPr="00156D84" w:rsidRDefault="00156D84" w:rsidP="00156D84">
      <w:pPr>
        <w:pStyle w:val="xmsonormal"/>
        <w:rPr>
          <w:rFonts w:ascii="Century Gothic" w:hAnsi="Century Gothic"/>
          <w:sz w:val="22"/>
          <w:szCs w:val="22"/>
        </w:rPr>
      </w:pPr>
    </w:p>
    <w:p w14:paraId="302B1260" w14:textId="77777777" w:rsidR="00156D84" w:rsidRPr="00156D84" w:rsidRDefault="00156D84" w:rsidP="00156D84">
      <w:pPr>
        <w:pStyle w:val="xmsonormal"/>
        <w:rPr>
          <w:rFonts w:ascii="Century Gothic" w:hAnsi="Century Gothic"/>
          <w:sz w:val="22"/>
          <w:szCs w:val="22"/>
        </w:rPr>
      </w:pPr>
    </w:p>
    <w:p w14:paraId="7F6CBFE4" w14:textId="77777777" w:rsidR="00156D84" w:rsidRPr="00156D84" w:rsidRDefault="00156D84" w:rsidP="00156D84">
      <w:pPr>
        <w:pStyle w:val="xmsonormal"/>
        <w:rPr>
          <w:rFonts w:ascii="Century Gothic" w:hAnsi="Century Gothic"/>
          <w:sz w:val="22"/>
          <w:szCs w:val="22"/>
        </w:rPr>
      </w:pPr>
    </w:p>
    <w:p w14:paraId="0A0A97ED" w14:textId="77777777" w:rsidR="00156D84" w:rsidRPr="00156D84" w:rsidRDefault="00156D84" w:rsidP="00156D84">
      <w:pPr>
        <w:pStyle w:val="xmsonormal"/>
        <w:rPr>
          <w:rFonts w:ascii="Century Gothic" w:hAnsi="Century Gothic"/>
          <w:sz w:val="22"/>
          <w:szCs w:val="22"/>
        </w:rPr>
      </w:pPr>
    </w:p>
    <w:p w14:paraId="53730995" w14:textId="77777777" w:rsidR="00156D84" w:rsidRPr="00156D84" w:rsidRDefault="00156D84" w:rsidP="00156D84">
      <w:pPr>
        <w:pStyle w:val="xmsonormal"/>
        <w:rPr>
          <w:rFonts w:ascii="Century Gothic" w:hAnsi="Century Gothic"/>
          <w:sz w:val="22"/>
          <w:szCs w:val="22"/>
        </w:rPr>
      </w:pPr>
    </w:p>
    <w:p w14:paraId="39B0B635" w14:textId="77777777" w:rsidR="002F5CD3" w:rsidRPr="00156D84" w:rsidRDefault="002F5CD3">
      <w:pPr>
        <w:rPr>
          <w:rFonts w:ascii="Century Gothic" w:hAnsi="Century Gothic"/>
        </w:rPr>
      </w:pPr>
    </w:p>
    <w:sectPr w:rsidR="002F5CD3" w:rsidRPr="00156D84" w:rsidSect="00156D84">
      <w:head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4248A" w14:textId="77777777" w:rsidR="00156D84" w:rsidRDefault="00156D84" w:rsidP="00156D84">
      <w:r>
        <w:separator/>
      </w:r>
    </w:p>
  </w:endnote>
  <w:endnote w:type="continuationSeparator" w:id="0">
    <w:p w14:paraId="428C54A0" w14:textId="77777777" w:rsidR="00156D84" w:rsidRDefault="00156D84" w:rsidP="00156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A3F9B" w14:textId="77777777" w:rsidR="00156D84" w:rsidRDefault="00156D84" w:rsidP="00156D84">
      <w:r>
        <w:separator/>
      </w:r>
    </w:p>
  </w:footnote>
  <w:footnote w:type="continuationSeparator" w:id="0">
    <w:p w14:paraId="142612B8" w14:textId="77777777" w:rsidR="00156D84" w:rsidRDefault="00156D84" w:rsidP="00156D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FB0D8" w14:textId="22C228F3" w:rsidR="00156D84" w:rsidRPr="00156D84" w:rsidRDefault="00156D84" w:rsidP="00156D84">
    <w:pPr>
      <w:pStyle w:val="En-tte"/>
      <w:jc w:val="center"/>
      <w:rPr>
        <w:rFonts w:ascii="Century Gothic" w:hAnsi="Century Gothic"/>
        <w:sz w:val="40"/>
        <w:szCs w:val="40"/>
      </w:rPr>
    </w:pPr>
    <w:r w:rsidRPr="00156D84">
      <w:rPr>
        <w:rFonts w:ascii="Century Gothic" w:hAnsi="Century Gothic"/>
        <w:sz w:val="40"/>
        <w:szCs w:val="40"/>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D623D"/>
    <w:multiLevelType w:val="hybridMultilevel"/>
    <w:tmpl w:val="B60EC9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3B8465B6"/>
    <w:multiLevelType w:val="hybridMultilevel"/>
    <w:tmpl w:val="44CA5DF8"/>
    <w:lvl w:ilvl="0" w:tplc="5804EBD2">
      <w:start w:val="1"/>
      <w:numFmt w:val="bullet"/>
      <w:lvlText w:val="-"/>
      <w:lvlJc w:val="left"/>
      <w:pPr>
        <w:ind w:left="360" w:hanging="360"/>
      </w:pPr>
      <w:rPr>
        <w:rFonts w:ascii="Courier New" w:hAnsi="Courier New"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num w:numId="1" w16cid:durableId="658077179">
    <w:abstractNumId w:val="1"/>
    <w:lvlOverride w:ilvl="0"/>
    <w:lvlOverride w:ilvl="1"/>
    <w:lvlOverride w:ilvl="2"/>
    <w:lvlOverride w:ilvl="3"/>
    <w:lvlOverride w:ilvl="4"/>
    <w:lvlOverride w:ilvl="5"/>
    <w:lvlOverride w:ilvl="6"/>
    <w:lvlOverride w:ilvl="7"/>
    <w:lvlOverride w:ilvl="8"/>
  </w:num>
  <w:num w:numId="2" w16cid:durableId="169823606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D84"/>
    <w:rsid w:val="00156D84"/>
    <w:rsid w:val="002F5CD3"/>
    <w:rsid w:val="009B2FE6"/>
    <w:rsid w:val="00E575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FA5E5"/>
  <w15:chartTrackingRefBased/>
  <w15:docId w15:val="{5D7C0076-CAF0-464D-8343-06FC8CB4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D84"/>
    <w:pPr>
      <w:spacing w:after="0" w:line="240" w:lineRule="auto"/>
    </w:pPr>
    <w:rPr>
      <w:rFonts w:ascii="Aptos" w:hAnsi="Aptos" w:cs="Aptos"/>
      <w:kern w:val="0"/>
    </w:rPr>
  </w:style>
  <w:style w:type="paragraph" w:styleId="Titre1">
    <w:name w:val="heading 1"/>
    <w:basedOn w:val="Normal"/>
    <w:next w:val="Normal"/>
    <w:link w:val="Titre1Car"/>
    <w:uiPriority w:val="9"/>
    <w:qFormat/>
    <w:rsid w:val="00156D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56D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56D8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56D8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56D8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56D84"/>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56D84"/>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56D84"/>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56D84"/>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56D8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56D8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56D8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56D8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56D8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56D8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56D8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56D8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56D84"/>
    <w:rPr>
      <w:rFonts w:eastAsiaTheme="majorEastAsia" w:cstheme="majorBidi"/>
      <w:color w:val="272727" w:themeColor="text1" w:themeTint="D8"/>
    </w:rPr>
  </w:style>
  <w:style w:type="paragraph" w:styleId="Titre">
    <w:name w:val="Title"/>
    <w:basedOn w:val="Normal"/>
    <w:next w:val="Normal"/>
    <w:link w:val="TitreCar"/>
    <w:uiPriority w:val="10"/>
    <w:qFormat/>
    <w:rsid w:val="00156D84"/>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56D8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56D8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56D8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56D84"/>
    <w:pPr>
      <w:spacing w:before="160"/>
      <w:jc w:val="center"/>
    </w:pPr>
    <w:rPr>
      <w:i/>
      <w:iCs/>
      <w:color w:val="404040" w:themeColor="text1" w:themeTint="BF"/>
    </w:rPr>
  </w:style>
  <w:style w:type="character" w:customStyle="1" w:styleId="CitationCar">
    <w:name w:val="Citation Car"/>
    <w:basedOn w:val="Policepardfaut"/>
    <w:link w:val="Citation"/>
    <w:uiPriority w:val="29"/>
    <w:rsid w:val="00156D84"/>
    <w:rPr>
      <w:i/>
      <w:iCs/>
      <w:color w:val="404040" w:themeColor="text1" w:themeTint="BF"/>
    </w:rPr>
  </w:style>
  <w:style w:type="paragraph" w:styleId="Paragraphedeliste">
    <w:name w:val="List Paragraph"/>
    <w:basedOn w:val="Normal"/>
    <w:uiPriority w:val="34"/>
    <w:qFormat/>
    <w:rsid w:val="00156D84"/>
    <w:pPr>
      <w:ind w:left="720"/>
      <w:contextualSpacing/>
    </w:pPr>
  </w:style>
  <w:style w:type="character" w:styleId="Accentuationintense">
    <w:name w:val="Intense Emphasis"/>
    <w:basedOn w:val="Policepardfaut"/>
    <w:uiPriority w:val="21"/>
    <w:qFormat/>
    <w:rsid w:val="00156D84"/>
    <w:rPr>
      <w:i/>
      <w:iCs/>
      <w:color w:val="0F4761" w:themeColor="accent1" w:themeShade="BF"/>
    </w:rPr>
  </w:style>
  <w:style w:type="paragraph" w:styleId="Citationintense">
    <w:name w:val="Intense Quote"/>
    <w:basedOn w:val="Normal"/>
    <w:next w:val="Normal"/>
    <w:link w:val="CitationintenseCar"/>
    <w:uiPriority w:val="30"/>
    <w:qFormat/>
    <w:rsid w:val="00156D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56D84"/>
    <w:rPr>
      <w:i/>
      <w:iCs/>
      <w:color w:val="0F4761" w:themeColor="accent1" w:themeShade="BF"/>
    </w:rPr>
  </w:style>
  <w:style w:type="character" w:styleId="Rfrenceintense">
    <w:name w:val="Intense Reference"/>
    <w:basedOn w:val="Policepardfaut"/>
    <w:uiPriority w:val="32"/>
    <w:qFormat/>
    <w:rsid w:val="00156D84"/>
    <w:rPr>
      <w:b/>
      <w:bCs/>
      <w:smallCaps/>
      <w:color w:val="0F4761" w:themeColor="accent1" w:themeShade="BF"/>
      <w:spacing w:val="5"/>
    </w:rPr>
  </w:style>
  <w:style w:type="paragraph" w:customStyle="1" w:styleId="xmsonormal">
    <w:name w:val="x_msonormal"/>
    <w:basedOn w:val="Normal"/>
    <w:rsid w:val="00156D84"/>
    <w:rPr>
      <w:sz w:val="24"/>
      <w:szCs w:val="24"/>
      <w:lang w:eastAsia="fr-FR"/>
      <w14:ligatures w14:val="none"/>
    </w:rPr>
  </w:style>
  <w:style w:type="paragraph" w:styleId="En-tte">
    <w:name w:val="header"/>
    <w:basedOn w:val="Normal"/>
    <w:link w:val="En-tteCar"/>
    <w:uiPriority w:val="99"/>
    <w:unhideWhenUsed/>
    <w:rsid w:val="00156D84"/>
    <w:pPr>
      <w:tabs>
        <w:tab w:val="center" w:pos="4536"/>
        <w:tab w:val="right" w:pos="9072"/>
      </w:tabs>
    </w:pPr>
  </w:style>
  <w:style w:type="character" w:customStyle="1" w:styleId="En-tteCar">
    <w:name w:val="En-tête Car"/>
    <w:basedOn w:val="Policepardfaut"/>
    <w:link w:val="En-tte"/>
    <w:uiPriority w:val="99"/>
    <w:rsid w:val="00156D84"/>
    <w:rPr>
      <w:rFonts w:ascii="Aptos" w:hAnsi="Aptos" w:cs="Aptos"/>
      <w:kern w:val="0"/>
    </w:rPr>
  </w:style>
  <w:style w:type="paragraph" w:styleId="Pieddepage">
    <w:name w:val="footer"/>
    <w:basedOn w:val="Normal"/>
    <w:link w:val="PieddepageCar"/>
    <w:uiPriority w:val="99"/>
    <w:unhideWhenUsed/>
    <w:rsid w:val="00156D84"/>
    <w:pPr>
      <w:tabs>
        <w:tab w:val="center" w:pos="4536"/>
        <w:tab w:val="right" w:pos="9072"/>
      </w:tabs>
    </w:pPr>
  </w:style>
  <w:style w:type="character" w:customStyle="1" w:styleId="PieddepageCar">
    <w:name w:val="Pied de page Car"/>
    <w:basedOn w:val="Policepardfaut"/>
    <w:link w:val="Pieddepage"/>
    <w:uiPriority w:val="99"/>
    <w:rsid w:val="00156D84"/>
    <w:rPr>
      <w:rFonts w:ascii="Aptos" w:hAnsi="Aptos" w:cs="Aptos"/>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14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A1EC860AF05343A19008592BD50B6D" ma:contentTypeVersion="4" ma:contentTypeDescription="Crée un document." ma:contentTypeScope="" ma:versionID="63a982e44c00aa4f7960befda3713256">
  <xsd:schema xmlns:xsd="http://www.w3.org/2001/XMLSchema" xmlns:xs="http://www.w3.org/2001/XMLSchema" xmlns:p="http://schemas.microsoft.com/office/2006/metadata/properties" xmlns:ns2="f8d3c15e-28e8-40fe-9b1f-b2680dd8b8c4" targetNamespace="http://schemas.microsoft.com/office/2006/metadata/properties" ma:root="true" ma:fieldsID="a377af72898bb1e4022910c864b83bd0" ns2:_="">
    <xsd:import namespace="f8d3c15e-28e8-40fe-9b1f-b2680dd8b8c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3c15e-28e8-40fe-9b1f-b2680dd8b8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D7F6AD-8687-4E15-BA43-EFB07935F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3c15e-28e8-40fe-9b1f-b2680dd8b8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AFC843-96AC-4644-81FC-B161F32C4197}">
  <ds:schemaRefs>
    <ds:schemaRef ds:uri="http://schemas.microsoft.com/sharepoint/v3/contenttype/forms"/>
  </ds:schemaRefs>
</ds:datastoreItem>
</file>

<file path=customXml/itemProps3.xml><?xml version="1.0" encoding="utf-8"?>
<ds:datastoreItem xmlns:ds="http://schemas.openxmlformats.org/officeDocument/2006/customXml" ds:itemID="{3A8AC2F3-F535-41DA-A9DB-87A70EF4B375}">
  <ds:schemaRefs>
    <ds:schemaRef ds:uri="http://purl.org/dc/terms/"/>
    <ds:schemaRef ds:uri="http://schemas.openxmlformats.org/package/2006/metadata/core-properties"/>
    <ds:schemaRef ds:uri="f8d3c15e-28e8-40fe-9b1f-b2680dd8b8c4"/>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738</Words>
  <Characters>4061</Characters>
  <Application>Microsoft Office Word</Application>
  <DocSecurity>0</DocSecurity>
  <Lines>33</Lines>
  <Paragraphs>9</Paragraphs>
  <ScaleCrop>false</ScaleCrop>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LIOTEAU Samuel</dc:creator>
  <cp:keywords/>
  <dc:description/>
  <cp:lastModifiedBy>LIOTEAU Samuel</cp:lastModifiedBy>
  <cp:revision>1</cp:revision>
  <dcterms:created xsi:type="dcterms:W3CDTF">2025-08-06T13:17:00Z</dcterms:created>
  <dcterms:modified xsi:type="dcterms:W3CDTF">2025-08-06T13:22:00Z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0x0101007FA1EC860AF05343A19008592BD50B6D</vt:lpwstr>
  </property>
</Properties>
</file>